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9616" w14:textId="567E136E" w:rsidR="001577DF" w:rsidRPr="00156AC7" w:rsidRDefault="001577DF" w:rsidP="001577DF">
      <w:pPr>
        <w:pStyle w:val="4Heading1"/>
        <w:spacing w:after="120"/>
        <w:jc w:val="center"/>
        <w:rPr>
          <w:color w:val="0070C0"/>
        </w:rPr>
      </w:pPr>
      <w:r>
        <w:rPr>
          <w:color w:val="0070C0"/>
        </w:rPr>
        <w:t xml:space="preserve">St Peter’s Catholic Primary School: </w:t>
      </w:r>
      <w:r w:rsidRPr="00156AC7">
        <w:rPr>
          <w:color w:val="0070C0"/>
        </w:rPr>
        <w:t>COVID-19 catch-up premium report</w:t>
      </w:r>
    </w:p>
    <w:p w14:paraId="50F5ABFF" w14:textId="17834DDC" w:rsidR="001577DF" w:rsidRDefault="001577DF" w:rsidP="001577DF">
      <w:pPr>
        <w:pStyle w:val="1bodycopy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6EB6CC" wp14:editId="18D0A62A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1811B" id="Straight Connector 7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z3AEAAJsDAAAOAAAAZHJzL2Uyb0RvYy54bWysU02P2jAQvVfqf7B8LwmsCrsRYQ8gelm1&#10;SHR7Hxw7seoveVwC/75jw7K77a1qDpbtGb+Z9+Zl+Xiyhh1lRO1dy6eTmjPphO+061v+/H376Z4z&#10;TOA6MN7Jlp8l8sfVxw/LMTRy5gdvOhkZgThsxtDyIaXQVBWKQVrAiQ/SUVD5aCHRMfZVF2EkdGuq&#10;WV3Pq9HHLkQvJCLdbi5Bvir4SkmRvimFMjHTcuotlTWW9ZDXarWEpo8QBi2ubcA/dGFBOyp6g9pA&#10;AvYr6r+grBbRo1dpIrytvFJayMKB2EzrP9jsBwiycCFxMNxkwv8HK74ed5HpruULzhxYGtE+RdD9&#10;kNjaO0cC+sgWWacxYEPpa7eLmak4uX148uInUqx6F8wHDJe0k4qWKaPDD7JHkYhIs1OZwPk2AXlK&#10;TNDlw91i+jD/zJl4iVXQZIhcMURMX6S3LG9abrTL4kADxydMuYnXlHzt/FYbUwZsHBup/GxRkwcE&#10;kM+UgURbG4g5up4zMD0ZWKRYINEb3eXnGQhjf1ibyI5AJprOZvO7bdaDyr1Ly11tAIdLXgld7GV1&#10;Io8bbVt+X+fv+tq4jC6LS68MXpXLu4Pvzrv4Ii85oBS9ujVb7O2Z9m//qdVvAA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wwBy&#10;M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7BD445F3" w14:textId="77777777" w:rsidR="001577DF" w:rsidRPr="00A006CF" w:rsidRDefault="001577DF" w:rsidP="001577DF">
      <w:pPr>
        <w:pStyle w:val="2Subheadpink"/>
        <w:rPr>
          <w:i/>
        </w:rPr>
      </w:pPr>
      <w:r>
        <w:rPr>
          <w:noProof/>
        </w:rPr>
        <w:t>COVID-19 catch-up premium spending: summary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156"/>
        <w:gridCol w:w="2717"/>
        <w:gridCol w:w="4823"/>
        <w:gridCol w:w="2144"/>
      </w:tblGrid>
      <w:tr w:rsidR="001577DF" w14:paraId="3F04FD03" w14:textId="77777777" w:rsidTr="00DE2963">
        <w:trPr>
          <w:cantSplit/>
          <w:tblHeader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198C8632" w14:textId="77777777" w:rsidR="001577DF" w:rsidRPr="00133219" w:rsidRDefault="001577DF" w:rsidP="00DE2963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summary information</w:t>
            </w:r>
          </w:p>
        </w:tc>
      </w:tr>
      <w:tr w:rsidR="001577DF" w14:paraId="4B29E33B" w14:textId="77777777" w:rsidTr="00DE2963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14:paraId="3D6B358E" w14:textId="77777777" w:rsidR="001577DF" w:rsidRDefault="001577DF" w:rsidP="00DE2963">
            <w:pPr>
              <w:pStyle w:val="7Tablebodycopy"/>
            </w:pPr>
            <w: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14:paraId="54F25DC7" w14:textId="77777777" w:rsidR="001577DF" w:rsidRDefault="001577DF" w:rsidP="00DE2963">
            <w:pPr>
              <w:pStyle w:val="7Tablebodycopy"/>
            </w:pPr>
            <w:r>
              <w:t>231</w:t>
            </w:r>
          </w:p>
        </w:tc>
        <w:tc>
          <w:tcPr>
            <w:tcW w:w="5055" w:type="dxa"/>
          </w:tcPr>
          <w:p w14:paraId="71048949" w14:textId="77777777" w:rsidR="001577DF" w:rsidRDefault="001577DF" w:rsidP="00DE2963">
            <w:pPr>
              <w:pStyle w:val="7Tablebodycopy"/>
            </w:pPr>
            <w: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14:paraId="5613A83C" w14:textId="2017E780" w:rsidR="001577DF" w:rsidRDefault="001577DF" w:rsidP="00DE2963">
            <w:pPr>
              <w:pStyle w:val="7Tablebodycopy"/>
            </w:pPr>
            <w:r>
              <w:t>£79.80</w:t>
            </w:r>
          </w:p>
        </w:tc>
      </w:tr>
      <w:tr w:rsidR="001577DF" w14:paraId="2A523E6B" w14:textId="77777777" w:rsidTr="00DE2963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14:paraId="20FF3BAE" w14:textId="77777777" w:rsidR="001577DF" w:rsidRDefault="001577DF" w:rsidP="00DE2963">
            <w:pPr>
              <w:pStyle w:val="7Tablebodycopy"/>
            </w:pPr>
            <w:r w:rsidRPr="006128D4">
              <w:t xml:space="preserve">Total </w:t>
            </w:r>
            <w:r>
              <w:t>catch-up</w:t>
            </w:r>
            <w:r w:rsidRPr="006128D4">
              <w:t xml:space="preserve">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14:paraId="7AA1559A" w14:textId="67BE6153" w:rsidR="001577DF" w:rsidRDefault="001577DF" w:rsidP="00DE2963">
            <w:pPr>
              <w:pStyle w:val="7Tablebodycopy"/>
            </w:pPr>
            <w:r>
              <w:t>£ 16,439</w:t>
            </w:r>
          </w:p>
        </w:tc>
        <w:tc>
          <w:tcPr>
            <w:tcW w:w="5055" w:type="dxa"/>
          </w:tcPr>
          <w:p w14:paraId="1A5DFB85" w14:textId="77777777" w:rsidR="001577DF" w:rsidRDefault="001577DF" w:rsidP="00DE2963">
            <w:pPr>
              <w:pStyle w:val="7Tablebodycopy"/>
            </w:pP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14:paraId="2286D97C" w14:textId="77777777" w:rsidR="001577DF" w:rsidRDefault="001577DF" w:rsidP="00DE2963">
            <w:pPr>
              <w:pStyle w:val="7Tablebodycopy"/>
            </w:pPr>
          </w:p>
        </w:tc>
      </w:tr>
    </w:tbl>
    <w:p w14:paraId="0F94EA76" w14:textId="09DC0108" w:rsidR="00CC409C" w:rsidRDefault="00CC409C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3840"/>
      </w:tblGrid>
      <w:tr w:rsidR="001577DF" w14:paraId="0CF09D00" w14:textId="77777777" w:rsidTr="00DE2963">
        <w:trPr>
          <w:cantSplit/>
        </w:trPr>
        <w:tc>
          <w:tcPr>
            <w:tcW w:w="14601" w:type="dxa"/>
            <w:shd w:val="clear" w:color="auto" w:fill="auto"/>
            <w:tcMar>
              <w:top w:w="113" w:type="dxa"/>
              <w:bottom w:w="113" w:type="dxa"/>
            </w:tcMar>
          </w:tcPr>
          <w:p w14:paraId="6675B2EA" w14:textId="77777777" w:rsidR="001577DF" w:rsidRPr="00DD4DD0" w:rsidRDefault="001577DF" w:rsidP="00DE2963">
            <w:pPr>
              <w:pStyle w:val="7Tablecopybulleted"/>
            </w:pPr>
            <w:r w:rsidRPr="00DD4DD0">
              <w:t xml:space="preserve">At St. Peter’s we </w:t>
            </w:r>
            <w:proofErr w:type="spellStart"/>
            <w:r w:rsidRPr="00DD4DD0">
              <w:t>recogni</w:t>
            </w:r>
            <w:r>
              <w:t>s</w:t>
            </w:r>
            <w:r w:rsidRPr="00DD4DD0">
              <w:t>e</w:t>
            </w:r>
            <w:proofErr w:type="spellEnd"/>
            <w:r w:rsidRPr="00DD4DD0">
              <w:t xml:space="preserve"> from our analysis of internal data that maintaining our high achievement of standards in reading, writing and </w:t>
            </w:r>
            <w:proofErr w:type="spellStart"/>
            <w:r w:rsidRPr="00DD4DD0">
              <w:t>maths</w:t>
            </w:r>
            <w:proofErr w:type="spellEnd"/>
            <w:r w:rsidRPr="00DD4DD0">
              <w:t xml:space="preserve"> is a priority. The Catch-up premium will therefore be spent on facilitating children to develop and practice the key skills required to meet age-related expectations in their year group.</w:t>
            </w:r>
          </w:p>
          <w:p w14:paraId="4C5D9958" w14:textId="77777777" w:rsidR="001577DF" w:rsidRPr="00DD4DD0" w:rsidRDefault="001577DF" w:rsidP="00DE2963">
            <w:pPr>
              <w:pStyle w:val="7Tablecopybulleted"/>
            </w:pPr>
            <w:r w:rsidRPr="00DD4DD0">
              <w:t xml:space="preserve">A teacher and a TA </w:t>
            </w:r>
            <w:r>
              <w:t>(</w:t>
            </w:r>
            <w:r w:rsidRPr="00DD4DD0">
              <w:t>Level 4</w:t>
            </w:r>
            <w:r>
              <w:t>)</w:t>
            </w:r>
            <w:r w:rsidRPr="00DD4DD0">
              <w:t xml:space="preserve"> have been employed by the school to deliver planned sessions in reading, writing and </w:t>
            </w:r>
            <w:proofErr w:type="spellStart"/>
            <w:r w:rsidRPr="00DD4DD0">
              <w:t>maths</w:t>
            </w:r>
            <w:proofErr w:type="spellEnd"/>
            <w:r w:rsidRPr="00DD4DD0">
              <w:t xml:space="preserve"> to our disadvantaged children, and to those children who have been most impacted by the closure of school due to Covid-19 lockdown.</w:t>
            </w:r>
          </w:p>
          <w:p w14:paraId="3DD092BF" w14:textId="77777777" w:rsidR="001577DF" w:rsidRPr="00DD4DD0" w:rsidRDefault="001577DF" w:rsidP="00DE2963">
            <w:pPr>
              <w:pStyle w:val="7Tablecopybulleted"/>
            </w:pPr>
            <w:r w:rsidRPr="00DD4DD0">
              <w:t xml:space="preserve">The overall aims of our catch-up premium strategy are as follows: </w:t>
            </w:r>
          </w:p>
          <w:p w14:paraId="059A71B2" w14:textId="77777777" w:rsidR="001577DF" w:rsidRPr="00DD4DD0" w:rsidRDefault="001577DF" w:rsidP="001577DF">
            <w:pPr>
              <w:pStyle w:val="7Tablecopybulleted"/>
              <w:numPr>
                <w:ilvl w:val="0"/>
                <w:numId w:val="0"/>
              </w:numPr>
              <w:ind w:left="1440"/>
            </w:pPr>
            <w:r w:rsidRPr="00DD4DD0">
              <w:t>To reduce the attainment gap between our disadvantaged pupils and their peers</w:t>
            </w:r>
          </w:p>
          <w:p w14:paraId="2BFDE1A3" w14:textId="77777777" w:rsidR="001577DF" w:rsidRDefault="001577DF" w:rsidP="00DE2963">
            <w:pPr>
              <w:pStyle w:val="7Tablecopybulleted"/>
              <w:numPr>
                <w:ilvl w:val="0"/>
                <w:numId w:val="0"/>
              </w:numPr>
              <w:ind w:left="1440"/>
            </w:pPr>
            <w:r w:rsidRPr="00DD4DD0">
              <w:t xml:space="preserve">To raise the attainment of all pupils to close the gap created by COVID-19 school </w:t>
            </w:r>
            <w:proofErr w:type="gramStart"/>
            <w:r w:rsidRPr="00DD4DD0">
              <w:t>closures</w:t>
            </w:r>
            <w:proofErr w:type="gramEnd"/>
          </w:p>
          <w:p w14:paraId="11087802" w14:textId="066CBFDD" w:rsidR="001577DF" w:rsidRPr="0014434B" w:rsidRDefault="001577DF" w:rsidP="00DE2963">
            <w:pPr>
              <w:pStyle w:val="7Tablecopybulleted"/>
              <w:numPr>
                <w:ilvl w:val="0"/>
                <w:numId w:val="0"/>
              </w:numPr>
              <w:ind w:left="1440"/>
              <w:rPr>
                <w:highlight w:val="yellow"/>
              </w:rPr>
            </w:pPr>
            <w:r w:rsidRPr="001577DF">
              <w:t>To facilitate and ensure the positive mental health and wellbeing of our children and families</w:t>
            </w:r>
          </w:p>
        </w:tc>
      </w:tr>
    </w:tbl>
    <w:p w14:paraId="582033F2" w14:textId="7ED1358F" w:rsidR="001577DF" w:rsidRDefault="001577DF"/>
    <w:p w14:paraId="1C8C3A77" w14:textId="77777777" w:rsidR="001577DF" w:rsidRDefault="001577DF" w:rsidP="001577DF">
      <w:pPr>
        <w:pStyle w:val="2Subheadpink"/>
      </w:pPr>
    </w:p>
    <w:p w14:paraId="2355080A" w14:textId="5B927480" w:rsidR="001577DF" w:rsidRDefault="001577DF" w:rsidP="001577DF">
      <w:pPr>
        <w:pStyle w:val="2Subheadpink"/>
      </w:pPr>
      <w:r>
        <w:lastRenderedPageBreak/>
        <w:t xml:space="preserve">Barriers to </w:t>
      </w:r>
      <w:proofErr w:type="gramStart"/>
      <w:r>
        <w:t>learning</w:t>
      </w:r>
      <w:proofErr w:type="gramEnd"/>
    </w:p>
    <w:p w14:paraId="10222AC6" w14:textId="77777777" w:rsidR="001577DF" w:rsidRPr="00A9708F" w:rsidRDefault="001577DF" w:rsidP="001577DF">
      <w:pPr>
        <w:pStyle w:val="3Bulletedcopyblue"/>
        <w:numPr>
          <w:ilvl w:val="0"/>
          <w:numId w:val="0"/>
        </w:numPr>
        <w:ind w:left="530" w:right="284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45"/>
        <w:gridCol w:w="12895"/>
      </w:tblGrid>
      <w:tr w:rsidR="001577DF" w:rsidRPr="00133219" w14:paraId="7BFFF501" w14:textId="77777777" w:rsidTr="00DE2963">
        <w:trPr>
          <w:cantSplit/>
        </w:trPr>
        <w:tc>
          <w:tcPr>
            <w:tcW w:w="1465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09CF97D1" w14:textId="77777777" w:rsidR="001577DF" w:rsidRPr="00133219" w:rsidRDefault="001577DF" w:rsidP="00DE2963">
            <w:pPr>
              <w:pStyle w:val="1bodycopy"/>
              <w:spacing w:after="0"/>
              <w:rPr>
                <w:caps/>
                <w:color w:val="F8F8F8"/>
              </w:rPr>
            </w:pPr>
            <w:r>
              <w:rPr>
                <w:caps/>
                <w:color w:val="F8F8F8"/>
              </w:rPr>
              <w:t>barriers to future attainment</w:t>
            </w:r>
          </w:p>
        </w:tc>
      </w:tr>
      <w:tr w:rsidR="001577DF" w14:paraId="7FE488C0" w14:textId="77777777" w:rsidTr="00DE2963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14:paraId="25671D87" w14:textId="77777777" w:rsidR="001577DF" w:rsidRPr="007773FB" w:rsidRDefault="001577DF" w:rsidP="00DE2963">
            <w:pPr>
              <w:pStyle w:val="7Tablebodybulleted"/>
              <w:numPr>
                <w:ilvl w:val="0"/>
                <w:numId w:val="0"/>
              </w:numPr>
              <w:rPr>
                <w:i/>
              </w:rPr>
            </w:pPr>
            <w:r>
              <w:t xml:space="preserve">Academic barriers: </w:t>
            </w:r>
            <w:r w:rsidRPr="00A70AD7">
              <w:t>(issues addressed in school)</w:t>
            </w:r>
          </w:p>
        </w:tc>
      </w:tr>
      <w:tr w:rsidR="001577DF" w14:paraId="7648B7F5" w14:textId="77777777" w:rsidTr="00DE2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7D5F1D3D" w14:textId="77777777" w:rsidR="001577DF" w:rsidRPr="007773FB" w:rsidRDefault="001577DF" w:rsidP="00DE2963">
            <w:pPr>
              <w:pStyle w:val="7Tablebodybulleted"/>
              <w:numPr>
                <w:ilvl w:val="0"/>
                <w:numId w:val="0"/>
              </w:numPr>
              <w:rPr>
                <w:highlight w:val="yellow"/>
              </w:rPr>
            </w:pPr>
            <w:r w:rsidRPr="007773FB">
              <w:t>A</w:t>
            </w:r>
          </w:p>
        </w:tc>
        <w:tc>
          <w:tcPr>
            <w:tcW w:w="13686" w:type="dxa"/>
            <w:shd w:val="clear" w:color="auto" w:fill="auto"/>
          </w:tcPr>
          <w:p w14:paraId="44F1B827" w14:textId="77777777" w:rsidR="001577DF" w:rsidRPr="00A9708F" w:rsidRDefault="001577DF" w:rsidP="00DE2963">
            <w:pPr>
              <w:pStyle w:val="3Bulletedcopyblue"/>
              <w:numPr>
                <w:ilvl w:val="0"/>
                <w:numId w:val="0"/>
              </w:numPr>
              <w:ind w:left="170" w:right="284"/>
              <w:rPr>
                <w:highlight w:val="yellow"/>
              </w:rPr>
            </w:pPr>
            <w:r w:rsidRPr="00A70AD7">
              <w:t>Our internal assessment and reporting shows that there is a gap in the achievement of disadvantaged and lower-achieving children in Reading and Writing in Reception and Year 1. It also shows a gap in the attainment of our Key Stage 2 disadvantaged and lower-achieving children in Writing. However, we are conscious that we are currently ranked number 1 in our EEF Families of School database.</w:t>
            </w:r>
            <w:r>
              <w:t xml:space="preserve"> </w:t>
            </w:r>
            <w:r w:rsidRPr="00A70AD7">
              <w:t>We engaged with Year 1 Recovery Curriculum seminars offered by Greater Manchester Combined Authority.</w:t>
            </w:r>
          </w:p>
          <w:p w14:paraId="083287EA" w14:textId="77777777" w:rsidR="001577DF" w:rsidRPr="00A70AD7" w:rsidRDefault="001577DF" w:rsidP="00DE2963">
            <w:pPr>
              <w:pStyle w:val="3Bulletedcopyblue"/>
              <w:numPr>
                <w:ilvl w:val="0"/>
                <w:numId w:val="0"/>
              </w:numPr>
              <w:ind w:left="340" w:right="284" w:hanging="170"/>
            </w:pPr>
          </w:p>
          <w:p w14:paraId="1594C406" w14:textId="77777777" w:rsidR="001577DF" w:rsidRDefault="001577DF" w:rsidP="00DE2963">
            <w:pPr>
              <w:pStyle w:val="3Bulletedcopyblue"/>
              <w:numPr>
                <w:ilvl w:val="0"/>
                <w:numId w:val="0"/>
              </w:numPr>
              <w:ind w:left="340" w:right="284"/>
              <w:rPr>
                <w:highlight w:val="yellow"/>
              </w:rPr>
            </w:pPr>
          </w:p>
          <w:p w14:paraId="0730CD82" w14:textId="77777777" w:rsidR="001577DF" w:rsidRDefault="001577DF" w:rsidP="00DE2963">
            <w:pPr>
              <w:pStyle w:val="7Tablebodycopy"/>
            </w:pPr>
          </w:p>
        </w:tc>
      </w:tr>
      <w:tr w:rsidR="001577DF" w14:paraId="5DABFDFC" w14:textId="77777777" w:rsidTr="00DE2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5EC639FF" w14:textId="77777777" w:rsidR="001577DF" w:rsidRDefault="001577DF" w:rsidP="00DE2963">
            <w:pPr>
              <w:pStyle w:val="7Tablebodycopy"/>
            </w:pPr>
            <w:r>
              <w:t>B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14:paraId="75ABDF8C" w14:textId="77777777" w:rsidR="001577DF" w:rsidRDefault="001577DF" w:rsidP="00DE2963">
            <w:pPr>
              <w:pStyle w:val="7Tablebodycopy"/>
            </w:pPr>
            <w:r>
              <w:t>Some children may find it difficult to settle back into the daily routine of school and learning after lockdown 3. Concentration and a lack of structured, challenging learning experiences may be an issue for the achievement and progress of some children.</w:t>
            </w:r>
          </w:p>
        </w:tc>
      </w:tr>
      <w:tr w:rsidR="001577DF" w14:paraId="0976357F" w14:textId="77777777" w:rsidTr="00DE2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2A3B9DC4" w14:textId="77777777" w:rsidR="001577DF" w:rsidRDefault="001577DF" w:rsidP="00DE2963">
            <w:pPr>
              <w:pStyle w:val="7Tablebodycopy"/>
            </w:pPr>
            <w:r>
              <w:t>C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14:paraId="4C202D49" w14:textId="77777777" w:rsidR="001577DF" w:rsidRDefault="001577DF" w:rsidP="00DE2963">
            <w:pPr>
              <w:pStyle w:val="7Tablebodycopy"/>
            </w:pPr>
            <w:r>
              <w:t xml:space="preserve">Some children may require support with their positive mental health and wellbeing, due to experiences they have had whilst school has been closed to </w:t>
            </w:r>
            <w:proofErr w:type="gramStart"/>
            <w:r>
              <w:t>the majority of</w:t>
            </w:r>
            <w:proofErr w:type="gramEnd"/>
            <w:r>
              <w:t xml:space="preserve"> children during lockdown 1 and lockdown 3.</w:t>
            </w:r>
          </w:p>
        </w:tc>
      </w:tr>
    </w:tbl>
    <w:p w14:paraId="16EEF2CD" w14:textId="77777777" w:rsidR="001577DF" w:rsidRDefault="001577DF" w:rsidP="001577DF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27"/>
        <w:gridCol w:w="12913"/>
      </w:tblGrid>
      <w:tr w:rsidR="001577DF" w14:paraId="64139D77" w14:textId="77777777" w:rsidTr="00DE2963">
        <w:trPr>
          <w:cantSplit/>
        </w:trPr>
        <w:tc>
          <w:tcPr>
            <w:tcW w:w="14653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14:paraId="67E555A6" w14:textId="77777777" w:rsidR="001577DF" w:rsidRDefault="001577DF" w:rsidP="00DE2963">
            <w:pPr>
              <w:pStyle w:val="7Tablebodycopy"/>
            </w:pPr>
            <w:r>
              <w:t>ADDITIONAL BARRIERS</w:t>
            </w:r>
          </w:p>
        </w:tc>
      </w:tr>
      <w:tr w:rsidR="001577DF" w:rsidRPr="00A9708F" w14:paraId="36E58089" w14:textId="77777777" w:rsidTr="00DE2963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14:paraId="5F8CC81A" w14:textId="77777777" w:rsidR="001577DF" w:rsidRPr="00A9708F" w:rsidRDefault="001577DF" w:rsidP="00DE2963">
            <w:pPr>
              <w:pStyle w:val="7Tablebodycopy"/>
            </w:pPr>
            <w:r w:rsidRPr="00A9708F">
              <w:t>External barriers</w:t>
            </w:r>
            <w:r>
              <w:t>:</w:t>
            </w:r>
            <w:r w:rsidRPr="00A9708F">
              <w:t xml:space="preserve"> </w:t>
            </w:r>
            <w:r w:rsidRPr="00A70AD7">
              <w:t>(issues which require action outside scho</w:t>
            </w:r>
            <w:r>
              <w:t>ol</w:t>
            </w:r>
            <w:r w:rsidRPr="00A70AD7">
              <w:t>)</w:t>
            </w:r>
          </w:p>
        </w:tc>
      </w:tr>
      <w:tr w:rsidR="001577DF" w14:paraId="5D8783B8" w14:textId="77777777" w:rsidTr="00DE2963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14:paraId="1D80E19C" w14:textId="77777777" w:rsidR="001577DF" w:rsidRDefault="001577DF" w:rsidP="00DE2963">
            <w:pPr>
              <w:pStyle w:val="7Tablebodycopy"/>
            </w:pPr>
            <w:r>
              <w:t>D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14:paraId="745BEF57" w14:textId="77777777" w:rsidR="001577DF" w:rsidRPr="00A70AD7" w:rsidRDefault="001577DF" w:rsidP="00DE2963">
            <w:pPr>
              <w:pStyle w:val="3Bulletedcopyblue"/>
              <w:numPr>
                <w:ilvl w:val="0"/>
                <w:numId w:val="0"/>
              </w:numPr>
              <w:ind w:left="170" w:right="284"/>
            </w:pPr>
            <w:r w:rsidRPr="00A70AD7">
              <w:t>In lockdown 3, a low number of our families did not engage with remote learning at all, despite encouragement and contact from school. A further number engaged in only a fraction of the remote learning on offer daily.</w:t>
            </w:r>
          </w:p>
          <w:p w14:paraId="05F9DC5D" w14:textId="77777777" w:rsidR="001577DF" w:rsidRDefault="001577DF" w:rsidP="00DE2963">
            <w:pPr>
              <w:pStyle w:val="7Tablebodycopy"/>
            </w:pPr>
          </w:p>
        </w:tc>
      </w:tr>
    </w:tbl>
    <w:p w14:paraId="3B00A8B5" w14:textId="16BFE4FA" w:rsidR="001577DF" w:rsidRDefault="001577DF"/>
    <w:p w14:paraId="118E86AA" w14:textId="77777777" w:rsidR="001577DF" w:rsidRDefault="001577DF" w:rsidP="001577DF">
      <w:pPr>
        <w:pStyle w:val="2Subheadpink"/>
      </w:pPr>
      <w:r>
        <w:lastRenderedPageBreak/>
        <w:t xml:space="preserve">Planned expenditure for current academic </w:t>
      </w:r>
      <w:proofErr w:type="gramStart"/>
      <w:r>
        <w:t>year</w:t>
      </w:r>
      <w:proofErr w:type="gramEnd"/>
    </w:p>
    <w:p w14:paraId="23D0EC2B" w14:textId="77777777" w:rsidR="001577DF" w:rsidRPr="00A9708F" w:rsidRDefault="001577DF" w:rsidP="001577DF">
      <w:pPr>
        <w:pStyle w:val="1bodycopy"/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202"/>
        <w:gridCol w:w="2123"/>
        <w:gridCol w:w="3241"/>
        <w:gridCol w:w="3244"/>
        <w:gridCol w:w="1531"/>
        <w:gridCol w:w="1499"/>
      </w:tblGrid>
      <w:tr w:rsidR="001577DF" w14:paraId="3E997646" w14:textId="77777777" w:rsidTr="00DE2963">
        <w:trPr>
          <w:cantSplit/>
        </w:trPr>
        <w:tc>
          <w:tcPr>
            <w:tcW w:w="14647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14:paraId="2101013E" w14:textId="77777777" w:rsidR="001577DF" w:rsidRDefault="001577DF" w:rsidP="00DE2963">
            <w:pPr>
              <w:pStyle w:val="7Tablebodycopy"/>
            </w:pPr>
            <w:r>
              <w:t>Quality of teaching for all</w:t>
            </w:r>
          </w:p>
        </w:tc>
      </w:tr>
      <w:tr w:rsidR="001577DF" w14:paraId="09E3846B" w14:textId="77777777" w:rsidTr="00DE2963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14:paraId="205B3199" w14:textId="77777777" w:rsidR="001577DF" w:rsidRDefault="001577DF" w:rsidP="00DE2963">
            <w:pPr>
              <w:pStyle w:val="7Tablebodycopy"/>
            </w:pPr>
            <w: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14:paraId="658A9013" w14:textId="77777777" w:rsidR="001577DF" w:rsidRDefault="001577DF" w:rsidP="00DE2963">
            <w:pPr>
              <w:pStyle w:val="7Tablebodycopy"/>
            </w:pPr>
            <w:r w:rsidRPr="00D86FD0">
              <w:t>Intended outcome and success criteria</w:t>
            </w:r>
          </w:p>
        </w:tc>
        <w:tc>
          <w:tcPr>
            <w:tcW w:w="3510" w:type="dxa"/>
          </w:tcPr>
          <w:p w14:paraId="0FC60C69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</w:pPr>
            <w:proofErr w:type="gramStart"/>
            <w:r>
              <w:t>What’s</w:t>
            </w:r>
            <w:proofErr w:type="gramEnd"/>
            <w:r>
              <w:t xml:space="preserve"> the evidence and rationale for this choice?</w:t>
            </w:r>
          </w:p>
        </w:tc>
        <w:tc>
          <w:tcPr>
            <w:tcW w:w="3510" w:type="dxa"/>
          </w:tcPr>
          <w:p w14:paraId="3BD6D403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  <w:ind w:right="27"/>
            </w:pPr>
            <w:r>
              <w:t xml:space="preserve">How will you make sure </w:t>
            </w:r>
            <w:proofErr w:type="gramStart"/>
            <w:r>
              <w:t>it’s</w:t>
            </w:r>
            <w:proofErr w:type="gramEnd"/>
            <w:r>
              <w:t xml:space="preserve"> implemented well?</w:t>
            </w:r>
          </w:p>
        </w:tc>
        <w:tc>
          <w:tcPr>
            <w:tcW w:w="1620" w:type="dxa"/>
          </w:tcPr>
          <w:p w14:paraId="3B9055F3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</w:pPr>
            <w:r>
              <w:t>Staff lead</w:t>
            </w:r>
          </w:p>
        </w:tc>
        <w:tc>
          <w:tcPr>
            <w:tcW w:w="1530" w:type="dxa"/>
          </w:tcPr>
          <w:p w14:paraId="2B3E2378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  <w:ind w:right="-18"/>
            </w:pPr>
            <w:r>
              <w:t>When will you review this?</w:t>
            </w:r>
          </w:p>
        </w:tc>
      </w:tr>
      <w:tr w:rsidR="001577DF" w:rsidRPr="00A9708F" w14:paraId="379E1BE6" w14:textId="77777777" w:rsidTr="00DE2963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14:paraId="785BBDD5" w14:textId="77777777" w:rsidR="001577DF" w:rsidRPr="00A9708F" w:rsidRDefault="001577DF" w:rsidP="00DE2963">
            <w:pPr>
              <w:pStyle w:val="7Tablebodycopy"/>
            </w:pPr>
            <w:r>
              <w:lastRenderedPageBreak/>
              <w:t xml:space="preserve">Support for each class from a teacher or TA (Level 4) to deliver and assess planned, </w:t>
            </w:r>
            <w:proofErr w:type="gramStart"/>
            <w:r>
              <w:t>specific</w:t>
            </w:r>
            <w:proofErr w:type="gramEnd"/>
            <w:r>
              <w:t xml:space="preserve"> and timed interventions. The aim is to facilitate the children to develop their key skills </w:t>
            </w:r>
            <w:proofErr w:type="gramStart"/>
            <w:r>
              <w:t>in order to</w:t>
            </w:r>
            <w:proofErr w:type="gramEnd"/>
            <w:r>
              <w:t xml:space="preserve"> progress towards end of year expectations for their year group.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14:paraId="728E80B9" w14:textId="66954027" w:rsidR="001577DF" w:rsidRDefault="001577DF" w:rsidP="00DE2963">
            <w:pPr>
              <w:pStyle w:val="7Tablebodycopy"/>
            </w:pPr>
            <w:r>
              <w:t xml:space="preserve">Children in the EYFS are on track to achieve GLD. Best </w:t>
            </w:r>
            <w:proofErr w:type="spellStart"/>
            <w:r>
              <w:t>endeavours</w:t>
            </w:r>
            <w:proofErr w:type="spellEnd"/>
            <w:r>
              <w:t xml:space="preserve"> will be used by staff to assess children against the EYFS profile in line with DfE recommen</w:t>
            </w:r>
            <w:r w:rsidR="00615AF1">
              <w:t>d</w:t>
            </w:r>
            <w:r>
              <w:t>ations.</w:t>
            </w:r>
          </w:p>
          <w:p w14:paraId="5FED2C38" w14:textId="77777777" w:rsidR="001577DF" w:rsidRDefault="001577DF" w:rsidP="00DE2963">
            <w:pPr>
              <w:pStyle w:val="7Tablebodycopy"/>
            </w:pPr>
          </w:p>
          <w:p w14:paraId="28C659A8" w14:textId="77777777" w:rsidR="001577DF" w:rsidRDefault="001577DF" w:rsidP="00DE2963">
            <w:pPr>
              <w:pStyle w:val="7Tablebodycopy"/>
            </w:pPr>
            <w:r>
              <w:t xml:space="preserve">Children in Y1 are on track to achieve their phonics check. This will be carried out internally, </w:t>
            </w:r>
            <w:proofErr w:type="gramStart"/>
            <w:r>
              <w:t>in light of</w:t>
            </w:r>
            <w:proofErr w:type="gramEnd"/>
            <w:r>
              <w:t xml:space="preserve"> the government decision to withdraw the phonics check for this academic year.</w:t>
            </w:r>
          </w:p>
          <w:p w14:paraId="5C6A386E" w14:textId="77777777" w:rsidR="001577DF" w:rsidRDefault="001577DF" w:rsidP="00DE2963">
            <w:pPr>
              <w:pStyle w:val="7Tablebodycopy"/>
            </w:pPr>
          </w:p>
          <w:p w14:paraId="7203A8DA" w14:textId="77777777" w:rsidR="001577DF" w:rsidRPr="00A9708F" w:rsidRDefault="001577DF" w:rsidP="00DE2963">
            <w:pPr>
              <w:pStyle w:val="7Tablebodycopy"/>
            </w:pPr>
            <w:r>
              <w:t>Children in Y2-Y6 are on track to achieve expected standard in their end of year expectations (SATS withdrawn for this academic year).</w:t>
            </w:r>
          </w:p>
        </w:tc>
        <w:tc>
          <w:tcPr>
            <w:tcW w:w="3510" w:type="dxa"/>
          </w:tcPr>
          <w:p w14:paraId="1171ABAF" w14:textId="77777777" w:rsidR="001577DF" w:rsidRPr="007035C9" w:rsidRDefault="001577DF" w:rsidP="00DE2963">
            <w:pPr>
              <w:pStyle w:val="7Tablecopybulleted"/>
              <w:rPr>
                <w:rStyle w:val="Hyperlink"/>
              </w:rPr>
            </w:pPr>
            <w:r w:rsidRPr="007035C9">
              <w:rPr>
                <w:rStyle w:val="Hyperlink"/>
              </w:rPr>
              <w:t>Quality-first teaching</w:t>
            </w:r>
          </w:p>
          <w:p w14:paraId="50D40F0C" w14:textId="77777777" w:rsidR="001577DF" w:rsidRPr="007035C9" w:rsidRDefault="000B59B0" w:rsidP="00DE2963">
            <w:pPr>
              <w:pStyle w:val="7Tablecopybulleted"/>
              <w:rPr>
                <w:rStyle w:val="Hyperlink"/>
              </w:rPr>
            </w:pPr>
            <w:hyperlink r:id="rId7" w:history="1">
              <w:r w:rsidR="001577DF" w:rsidRPr="007035C9">
                <w:rPr>
                  <w:rStyle w:val="Hyperlink"/>
                </w:rPr>
                <w:t>DfE’s catch-up premium guidance</w:t>
              </w:r>
            </w:hyperlink>
          </w:p>
          <w:p w14:paraId="72521B38" w14:textId="77777777" w:rsidR="001577DF" w:rsidRPr="007035C9" w:rsidRDefault="000B59B0" w:rsidP="00DE2963">
            <w:pPr>
              <w:pStyle w:val="7Tablecopybulleted"/>
            </w:pPr>
            <w:hyperlink r:id="rId8" w:history="1">
              <w:r w:rsidR="001577DF" w:rsidRPr="007035C9">
                <w:rPr>
                  <w:rStyle w:val="Hyperlink"/>
                </w:rPr>
                <w:t>EEF’s COVID-19 support guide for schools</w:t>
              </w:r>
            </w:hyperlink>
          </w:p>
        </w:tc>
        <w:tc>
          <w:tcPr>
            <w:tcW w:w="3510" w:type="dxa"/>
          </w:tcPr>
          <w:p w14:paraId="52EB27B5" w14:textId="77777777" w:rsidR="001577DF" w:rsidRDefault="001577DF" w:rsidP="00DE2963">
            <w:pPr>
              <w:pStyle w:val="7Tablebodycopy"/>
            </w:pPr>
            <w:r>
              <w:t>Internal assessment at the end of each half term will be carried out by the teacher and TA4 who are leading the intervention groups.</w:t>
            </w:r>
          </w:p>
          <w:p w14:paraId="225F280B" w14:textId="77777777" w:rsidR="001577DF" w:rsidRPr="00A9708F" w:rsidRDefault="001577DF" w:rsidP="00DE2963">
            <w:pPr>
              <w:pStyle w:val="7Tablebodycopy"/>
            </w:pPr>
            <w:r>
              <w:t>Children in these intervention groups will have their progress scored on our internal progress trackers.</w:t>
            </w:r>
          </w:p>
        </w:tc>
        <w:tc>
          <w:tcPr>
            <w:tcW w:w="1620" w:type="dxa"/>
          </w:tcPr>
          <w:p w14:paraId="378FE6F1" w14:textId="77777777" w:rsidR="001577DF" w:rsidRPr="00A9708F" w:rsidRDefault="001577DF" w:rsidP="00DE2963">
            <w:pPr>
              <w:pStyle w:val="7Tablebodycopy"/>
            </w:pPr>
            <w:r>
              <w:t>KR, RG</w:t>
            </w:r>
          </w:p>
        </w:tc>
        <w:tc>
          <w:tcPr>
            <w:tcW w:w="1530" w:type="dxa"/>
          </w:tcPr>
          <w:p w14:paraId="269B8731" w14:textId="77777777" w:rsidR="001577DF" w:rsidRPr="00A9708F" w:rsidRDefault="001577DF" w:rsidP="00DE2963">
            <w:pPr>
              <w:pStyle w:val="7Tablebodycopy"/>
            </w:pPr>
            <w:r>
              <w:t xml:space="preserve">Half termly. We will carry out summative assessment of the attainment children have made in relation to the specific learning intentions of each </w:t>
            </w:r>
            <w:proofErr w:type="gramStart"/>
            <w:r>
              <w:t>particular intervention</w:t>
            </w:r>
            <w:proofErr w:type="gramEnd"/>
            <w:r>
              <w:t xml:space="preserve"> group.</w:t>
            </w:r>
          </w:p>
        </w:tc>
      </w:tr>
    </w:tbl>
    <w:p w14:paraId="5ABFF7B3" w14:textId="2C2139F8" w:rsidR="001577DF" w:rsidRDefault="001577DF"/>
    <w:p w14:paraId="11B99C77" w14:textId="18B42BA5" w:rsidR="001577DF" w:rsidRDefault="001577DF"/>
    <w:p w14:paraId="52FB0513" w14:textId="02FE8339" w:rsidR="001577DF" w:rsidRDefault="001577DF"/>
    <w:p w14:paraId="78FCC299" w14:textId="77777777" w:rsidR="001577DF" w:rsidRDefault="001577DF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198"/>
        <w:gridCol w:w="2069"/>
        <w:gridCol w:w="3263"/>
        <w:gridCol w:w="3275"/>
        <w:gridCol w:w="1541"/>
        <w:gridCol w:w="1494"/>
      </w:tblGrid>
      <w:tr w:rsidR="001577DF" w14:paraId="18C5F9B0" w14:textId="77777777" w:rsidTr="00DE2963">
        <w:trPr>
          <w:cantSplit/>
        </w:trPr>
        <w:tc>
          <w:tcPr>
            <w:tcW w:w="2317" w:type="dxa"/>
            <w:shd w:val="clear" w:color="auto" w:fill="9CC2E5"/>
            <w:tcMar>
              <w:top w:w="113" w:type="dxa"/>
              <w:bottom w:w="113" w:type="dxa"/>
            </w:tcMar>
          </w:tcPr>
          <w:p w14:paraId="5B89A817" w14:textId="77777777" w:rsidR="001577DF" w:rsidRDefault="001577DF" w:rsidP="00DE2963">
            <w:pPr>
              <w:pStyle w:val="7Tablebodycopy"/>
            </w:pPr>
            <w:r>
              <w:lastRenderedPageBreak/>
              <w:t>Other approaches</w:t>
            </w:r>
          </w:p>
        </w:tc>
        <w:tc>
          <w:tcPr>
            <w:tcW w:w="2160" w:type="dxa"/>
            <w:shd w:val="clear" w:color="auto" w:fill="9CC2E5"/>
            <w:tcMar>
              <w:top w:w="113" w:type="dxa"/>
              <w:bottom w:w="113" w:type="dxa"/>
            </w:tcMar>
          </w:tcPr>
          <w:p w14:paraId="4B024E46" w14:textId="77777777" w:rsidR="001577DF" w:rsidRDefault="001577DF" w:rsidP="00DE2963">
            <w:pPr>
              <w:pStyle w:val="7Tablebodycopy"/>
            </w:pPr>
          </w:p>
        </w:tc>
        <w:tc>
          <w:tcPr>
            <w:tcW w:w="3510" w:type="dxa"/>
            <w:shd w:val="clear" w:color="auto" w:fill="9CC2E5"/>
          </w:tcPr>
          <w:p w14:paraId="3281BE0E" w14:textId="77777777" w:rsidR="001577DF" w:rsidRDefault="001577DF" w:rsidP="00DE2963">
            <w:pPr>
              <w:pStyle w:val="7Tablebodycopy"/>
            </w:pPr>
          </w:p>
        </w:tc>
        <w:tc>
          <w:tcPr>
            <w:tcW w:w="3510" w:type="dxa"/>
            <w:shd w:val="clear" w:color="auto" w:fill="9CC2E5"/>
          </w:tcPr>
          <w:p w14:paraId="3664E4C5" w14:textId="77777777" w:rsidR="001577DF" w:rsidRDefault="001577DF" w:rsidP="00DE2963">
            <w:pPr>
              <w:pStyle w:val="7Tablebodycopy"/>
            </w:pPr>
          </w:p>
        </w:tc>
        <w:tc>
          <w:tcPr>
            <w:tcW w:w="1620" w:type="dxa"/>
            <w:shd w:val="clear" w:color="auto" w:fill="9CC2E5"/>
          </w:tcPr>
          <w:p w14:paraId="57A9308F" w14:textId="77777777" w:rsidR="001577DF" w:rsidRDefault="001577DF" w:rsidP="00DE2963">
            <w:pPr>
              <w:pStyle w:val="7Tablebodycopy"/>
            </w:pPr>
          </w:p>
        </w:tc>
        <w:tc>
          <w:tcPr>
            <w:tcW w:w="1530" w:type="dxa"/>
            <w:shd w:val="clear" w:color="auto" w:fill="9CC2E5"/>
          </w:tcPr>
          <w:p w14:paraId="10B8B35F" w14:textId="77777777" w:rsidR="001577DF" w:rsidRDefault="001577DF" w:rsidP="00DE2963">
            <w:pPr>
              <w:pStyle w:val="7Tablebodycopy"/>
            </w:pPr>
          </w:p>
        </w:tc>
      </w:tr>
      <w:tr w:rsidR="001577DF" w14:paraId="11BAABC3" w14:textId="77777777" w:rsidTr="00DE2963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14:paraId="7E0894EC" w14:textId="77777777" w:rsidR="001577DF" w:rsidRDefault="001577DF" w:rsidP="00DE2963">
            <w:pPr>
              <w:pStyle w:val="7Tablebodycopy"/>
            </w:pPr>
            <w:r>
              <w:t>Action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14:paraId="2A462695" w14:textId="77777777" w:rsidR="001577DF" w:rsidRDefault="001577DF" w:rsidP="00DE2963">
            <w:pPr>
              <w:pStyle w:val="7Tablebodycopy"/>
            </w:pPr>
            <w:r w:rsidRPr="00D86FD0">
              <w:t>Intended outcome and success criteria</w:t>
            </w:r>
          </w:p>
        </w:tc>
        <w:tc>
          <w:tcPr>
            <w:tcW w:w="3510" w:type="dxa"/>
          </w:tcPr>
          <w:p w14:paraId="6042FDEA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</w:pPr>
            <w:proofErr w:type="gramStart"/>
            <w:r>
              <w:t>What’s</w:t>
            </w:r>
            <w:proofErr w:type="gramEnd"/>
            <w:r>
              <w:t xml:space="preserve"> the evidence and rationale for this choice?</w:t>
            </w:r>
          </w:p>
        </w:tc>
        <w:tc>
          <w:tcPr>
            <w:tcW w:w="3510" w:type="dxa"/>
          </w:tcPr>
          <w:p w14:paraId="0513E768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  <w:ind w:right="27"/>
            </w:pPr>
            <w:r>
              <w:t xml:space="preserve">How will you make sure </w:t>
            </w:r>
            <w:proofErr w:type="gramStart"/>
            <w:r>
              <w:t>it’s</w:t>
            </w:r>
            <w:proofErr w:type="gramEnd"/>
            <w:r>
              <w:t xml:space="preserve"> implemented well?</w:t>
            </w:r>
          </w:p>
        </w:tc>
        <w:tc>
          <w:tcPr>
            <w:tcW w:w="1620" w:type="dxa"/>
          </w:tcPr>
          <w:p w14:paraId="67A13BBF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</w:pPr>
            <w:r>
              <w:t>Staff lead</w:t>
            </w:r>
          </w:p>
        </w:tc>
        <w:tc>
          <w:tcPr>
            <w:tcW w:w="1530" w:type="dxa"/>
          </w:tcPr>
          <w:p w14:paraId="2F7E0CB8" w14:textId="77777777" w:rsidR="001577DF" w:rsidRDefault="001577DF" w:rsidP="00DE2963">
            <w:pPr>
              <w:pStyle w:val="7Tablebodybulleted"/>
              <w:numPr>
                <w:ilvl w:val="0"/>
                <w:numId w:val="0"/>
              </w:numPr>
              <w:ind w:right="-18"/>
            </w:pPr>
            <w:r>
              <w:t>When will you review this?</w:t>
            </w:r>
          </w:p>
        </w:tc>
      </w:tr>
      <w:tr w:rsidR="001577DF" w14:paraId="45D4EA9E" w14:textId="77777777" w:rsidTr="00DE2963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14:paraId="415C252B" w14:textId="77777777" w:rsidR="001577DF" w:rsidRDefault="001577DF" w:rsidP="00DE2963">
            <w:pPr>
              <w:pStyle w:val="7Tablebodycopy"/>
            </w:pPr>
            <w:r>
              <w:t>Develop a robust offer to promote the positive mental health and wellbeing of children at St. Peter’s.</w:t>
            </w: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14:paraId="070AA77C" w14:textId="77777777" w:rsidR="001577DF" w:rsidRDefault="001577DF" w:rsidP="00DE2963">
            <w:pPr>
              <w:pStyle w:val="7Tablebodycopy"/>
            </w:pPr>
            <w:r>
              <w:t xml:space="preserve">School screen children using our internal MH quadrants. We offer interventions to facilitate children’s wellbeing for specific needs (please see the offer on our website). MH </w:t>
            </w:r>
            <w:proofErr w:type="gramStart"/>
            <w:r>
              <w:t>lead</w:t>
            </w:r>
            <w:proofErr w:type="gramEnd"/>
            <w:r>
              <w:t xml:space="preserve"> has developed links with other agencies in the local authority, </w:t>
            </w:r>
            <w:proofErr w:type="spellStart"/>
            <w:r>
              <w:t>eg.</w:t>
            </w:r>
            <w:proofErr w:type="spellEnd"/>
            <w:r>
              <w:t xml:space="preserve"> other schools, Healthy Young Minds. This will be done through attendance at network meetings for the Anna Freud learning platform.</w:t>
            </w:r>
          </w:p>
        </w:tc>
        <w:tc>
          <w:tcPr>
            <w:tcW w:w="3510" w:type="dxa"/>
          </w:tcPr>
          <w:p w14:paraId="3EC7F0C0" w14:textId="77777777" w:rsidR="001577DF" w:rsidRDefault="001577DF" w:rsidP="00DE2963">
            <w:pPr>
              <w:pStyle w:val="7Tablebodycopy"/>
            </w:pPr>
            <w:r>
              <w:t xml:space="preserve">Anna Freud learning </w:t>
            </w:r>
            <w:proofErr w:type="gramStart"/>
            <w:r>
              <w:t>platform</w:t>
            </w:r>
            <w:proofErr w:type="gramEnd"/>
            <w:r>
              <w:t xml:space="preserve"> </w:t>
            </w:r>
          </w:p>
          <w:p w14:paraId="176BD224" w14:textId="77777777" w:rsidR="001577DF" w:rsidRDefault="001577DF" w:rsidP="00DE2963">
            <w:pPr>
              <w:pStyle w:val="7Tablebodycopy"/>
            </w:pPr>
          </w:p>
          <w:p w14:paraId="1E696122" w14:textId="77777777" w:rsidR="001577DF" w:rsidRDefault="001577DF" w:rsidP="00DE2963">
            <w:pPr>
              <w:pStyle w:val="7Tablebodycopy"/>
            </w:pPr>
            <w:r>
              <w:t>EEF wellbeing course</w:t>
            </w:r>
          </w:p>
        </w:tc>
        <w:tc>
          <w:tcPr>
            <w:tcW w:w="3510" w:type="dxa"/>
          </w:tcPr>
          <w:p w14:paraId="4BC015B7" w14:textId="77777777" w:rsidR="001577DF" w:rsidRDefault="001577DF" w:rsidP="00DE2963">
            <w:pPr>
              <w:pStyle w:val="7Tablebodycopy"/>
            </w:pPr>
            <w:r>
              <w:t>SLT will monitor MH quadrants and school’s provision for children – in school interventions, home learning and outreach work with other agencies.</w:t>
            </w:r>
          </w:p>
        </w:tc>
        <w:tc>
          <w:tcPr>
            <w:tcW w:w="1620" w:type="dxa"/>
          </w:tcPr>
          <w:p w14:paraId="230DE872" w14:textId="77777777" w:rsidR="001577DF" w:rsidRDefault="001577DF" w:rsidP="00DE2963">
            <w:pPr>
              <w:pStyle w:val="7Tablebodycopy"/>
            </w:pPr>
            <w:r>
              <w:t>KR, RR</w:t>
            </w:r>
          </w:p>
        </w:tc>
        <w:tc>
          <w:tcPr>
            <w:tcW w:w="1530" w:type="dxa"/>
          </w:tcPr>
          <w:p w14:paraId="679B2485" w14:textId="77777777" w:rsidR="001577DF" w:rsidRDefault="001577DF" w:rsidP="00DE2963">
            <w:pPr>
              <w:pStyle w:val="7Tablebodycopy"/>
            </w:pPr>
            <w:r>
              <w:t>Half termly as a Senior Leadership Team</w:t>
            </w:r>
          </w:p>
        </w:tc>
      </w:tr>
      <w:tr w:rsidR="001577DF" w14:paraId="5A74430C" w14:textId="77777777" w:rsidTr="00DE2963">
        <w:trPr>
          <w:cantSplit/>
        </w:trPr>
        <w:tc>
          <w:tcPr>
            <w:tcW w:w="2317" w:type="dxa"/>
            <w:shd w:val="clear" w:color="auto" w:fill="auto"/>
            <w:tcMar>
              <w:top w:w="113" w:type="dxa"/>
              <w:bottom w:w="113" w:type="dxa"/>
            </w:tcMar>
          </w:tcPr>
          <w:p w14:paraId="1439833F" w14:textId="77777777" w:rsidR="001577DF" w:rsidRDefault="001577DF" w:rsidP="00DE2963">
            <w:pPr>
              <w:pStyle w:val="7Tablebodycopy"/>
            </w:pPr>
          </w:p>
        </w:tc>
        <w:tc>
          <w:tcPr>
            <w:tcW w:w="2160" w:type="dxa"/>
            <w:shd w:val="clear" w:color="auto" w:fill="auto"/>
            <w:tcMar>
              <w:top w:w="113" w:type="dxa"/>
              <w:bottom w:w="113" w:type="dxa"/>
            </w:tcMar>
          </w:tcPr>
          <w:p w14:paraId="7D6CC52D" w14:textId="77777777" w:rsidR="001577DF" w:rsidRDefault="001577DF" w:rsidP="00DE2963">
            <w:pPr>
              <w:pStyle w:val="7Tablebodycopy"/>
            </w:pPr>
          </w:p>
        </w:tc>
        <w:tc>
          <w:tcPr>
            <w:tcW w:w="3510" w:type="dxa"/>
          </w:tcPr>
          <w:p w14:paraId="50D53F84" w14:textId="77777777" w:rsidR="001577DF" w:rsidRDefault="001577DF" w:rsidP="00DE2963">
            <w:pPr>
              <w:pStyle w:val="7Tablebodycopy"/>
            </w:pPr>
          </w:p>
        </w:tc>
        <w:tc>
          <w:tcPr>
            <w:tcW w:w="3510" w:type="dxa"/>
          </w:tcPr>
          <w:p w14:paraId="1FF281A6" w14:textId="77777777" w:rsidR="001577DF" w:rsidRDefault="001577DF" w:rsidP="00DE2963">
            <w:pPr>
              <w:pStyle w:val="7Tablebodycopy"/>
            </w:pPr>
          </w:p>
        </w:tc>
        <w:tc>
          <w:tcPr>
            <w:tcW w:w="1620" w:type="dxa"/>
          </w:tcPr>
          <w:p w14:paraId="356476DA" w14:textId="77777777" w:rsidR="001577DF" w:rsidRDefault="001577DF" w:rsidP="00DE2963">
            <w:pPr>
              <w:pStyle w:val="7Tablebodycopy"/>
            </w:pPr>
          </w:p>
        </w:tc>
        <w:tc>
          <w:tcPr>
            <w:tcW w:w="1530" w:type="dxa"/>
          </w:tcPr>
          <w:p w14:paraId="6A304FDA" w14:textId="77777777" w:rsidR="001577DF" w:rsidRDefault="001577DF" w:rsidP="00DE2963">
            <w:pPr>
              <w:pStyle w:val="7Tablebodycopy"/>
            </w:pPr>
          </w:p>
        </w:tc>
      </w:tr>
      <w:tr w:rsidR="001577DF" w14:paraId="66766995" w14:textId="77777777" w:rsidTr="00DE2963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14:paraId="393D0FEE" w14:textId="138C31D9" w:rsidR="001577DF" w:rsidRDefault="001577DF" w:rsidP="00DE2963">
            <w:pPr>
              <w:pStyle w:val="7Tablebodycopy"/>
              <w:jc w:val="right"/>
            </w:pPr>
            <w:r>
              <w:t>Total budgeted cost</w:t>
            </w:r>
            <w:r w:rsidR="006B3A4F">
              <w:t xml:space="preserve"> </w:t>
            </w:r>
            <w:r w:rsidR="006B3A4F" w:rsidRPr="006B3A4F">
              <w:rPr>
                <w:i/>
                <w:iCs/>
                <w:u w:val="single"/>
              </w:rPr>
              <w:t>to 02-04-21</w:t>
            </w:r>
            <w:r>
              <w:t>:</w:t>
            </w:r>
          </w:p>
        </w:tc>
        <w:tc>
          <w:tcPr>
            <w:tcW w:w="1530" w:type="dxa"/>
          </w:tcPr>
          <w:p w14:paraId="45E87FE7" w14:textId="77777777" w:rsidR="00A860F5" w:rsidRDefault="00A860F5" w:rsidP="00A860F5">
            <w:pPr>
              <w:pStyle w:val="7Tablebodycopy"/>
            </w:pPr>
            <w:r>
              <w:t xml:space="preserve">£12, 286 </w:t>
            </w:r>
          </w:p>
          <w:p w14:paraId="7698FEDD" w14:textId="037FA5B3" w:rsidR="001577DF" w:rsidRDefault="00A860F5" w:rsidP="00A860F5">
            <w:pPr>
              <w:pStyle w:val="7Tablebodycopy"/>
            </w:pPr>
            <w:r>
              <w:t>£4, 153 remaining</w:t>
            </w:r>
          </w:p>
        </w:tc>
      </w:tr>
    </w:tbl>
    <w:p w14:paraId="1AA8DF42" w14:textId="2F4B9385" w:rsidR="001577DF" w:rsidRDefault="001577DF"/>
    <w:p w14:paraId="01672EDC" w14:textId="77777777" w:rsidR="001577DF" w:rsidRDefault="001577DF"/>
    <w:p w14:paraId="7659D598" w14:textId="77777777" w:rsidR="001577DF" w:rsidRDefault="001577DF"/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3840"/>
      </w:tblGrid>
      <w:tr w:rsidR="001577DF" w:rsidRPr="00A9708F" w14:paraId="6B4ACA9B" w14:textId="77777777" w:rsidTr="001577DF">
        <w:trPr>
          <w:cantSplit/>
        </w:trPr>
        <w:tc>
          <w:tcPr>
            <w:tcW w:w="14879" w:type="dxa"/>
            <w:shd w:val="clear" w:color="auto" w:fill="002060"/>
            <w:tcMar>
              <w:top w:w="113" w:type="dxa"/>
              <w:bottom w:w="113" w:type="dxa"/>
            </w:tcMar>
          </w:tcPr>
          <w:p w14:paraId="3D792344" w14:textId="077555A6" w:rsidR="001577DF" w:rsidRPr="00A70AD7" w:rsidRDefault="001577DF" w:rsidP="00DE2963">
            <w:pPr>
              <w:pStyle w:val="7Tablebodybulleted"/>
              <w:numPr>
                <w:ilvl w:val="0"/>
                <w:numId w:val="0"/>
              </w:numPr>
            </w:pPr>
            <w:r>
              <w:t>ADDITIONAL INFORMATION</w:t>
            </w:r>
          </w:p>
        </w:tc>
      </w:tr>
      <w:tr w:rsidR="001577DF" w:rsidRPr="00A9708F" w14:paraId="146E6708" w14:textId="77777777" w:rsidTr="00DE2963">
        <w:trPr>
          <w:cantSplit/>
        </w:trPr>
        <w:tc>
          <w:tcPr>
            <w:tcW w:w="14879" w:type="dxa"/>
            <w:shd w:val="clear" w:color="auto" w:fill="auto"/>
            <w:tcMar>
              <w:top w:w="113" w:type="dxa"/>
              <w:bottom w:w="113" w:type="dxa"/>
            </w:tcMar>
          </w:tcPr>
          <w:p w14:paraId="4F8FFE41" w14:textId="77777777" w:rsidR="001577DF" w:rsidRPr="00A70AD7" w:rsidRDefault="001577DF" w:rsidP="00DE2963">
            <w:pPr>
              <w:pStyle w:val="7Tablebodybulleted"/>
              <w:numPr>
                <w:ilvl w:val="0"/>
                <w:numId w:val="0"/>
              </w:numPr>
            </w:pPr>
            <w:r w:rsidRPr="00A70AD7">
              <w:t>A robust home learning offer is now in place. Please see our policy, self-evaluation summary, information for parents and remote learning timetables on the ‘home learning’ tab of our website.</w:t>
            </w:r>
          </w:p>
          <w:p w14:paraId="6219D788" w14:textId="77777777" w:rsidR="001577DF" w:rsidRPr="00AA3115" w:rsidRDefault="001577DF" w:rsidP="00DE2963">
            <w:pPr>
              <w:pStyle w:val="7Tablebodybulleted"/>
              <w:numPr>
                <w:ilvl w:val="0"/>
                <w:numId w:val="0"/>
              </w:numPr>
              <w:rPr>
                <w:highlight w:val="yellow"/>
              </w:rPr>
            </w:pPr>
            <w:r w:rsidRPr="00B40E38">
              <w:t xml:space="preserve">Staff </w:t>
            </w:r>
            <w:r>
              <w:t xml:space="preserve">and parental </w:t>
            </w:r>
            <w:r w:rsidRPr="00B40E38">
              <w:t xml:space="preserve">consultation </w:t>
            </w:r>
            <w:proofErr w:type="gramStart"/>
            <w:r>
              <w:t>has</w:t>
            </w:r>
            <w:proofErr w:type="gramEnd"/>
            <w:r>
              <w:t xml:space="preserve"> evidenced a decline in the positive mental health and wellbeing of a significant proportion of our children and families.</w:t>
            </w:r>
          </w:p>
        </w:tc>
      </w:tr>
    </w:tbl>
    <w:p w14:paraId="6A736396" w14:textId="77777777" w:rsidR="001577DF" w:rsidRDefault="001577DF" w:rsidP="001577DF">
      <w:pPr>
        <w:pStyle w:val="1bodycopy"/>
      </w:pPr>
    </w:p>
    <w:p w14:paraId="64709EFB" w14:textId="77777777" w:rsidR="001577DF" w:rsidRDefault="001577DF"/>
    <w:sectPr w:rsidR="001577DF" w:rsidSect="001577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706CE" w14:textId="77777777" w:rsidR="001577DF" w:rsidRDefault="001577DF" w:rsidP="001577DF">
      <w:pPr>
        <w:spacing w:after="0" w:line="240" w:lineRule="auto"/>
      </w:pPr>
      <w:r>
        <w:separator/>
      </w:r>
    </w:p>
  </w:endnote>
  <w:endnote w:type="continuationSeparator" w:id="0">
    <w:p w14:paraId="58351A8C" w14:textId="77777777" w:rsidR="001577DF" w:rsidRDefault="001577DF" w:rsidP="0015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4F2B3" w14:textId="77777777" w:rsidR="001577DF" w:rsidRDefault="001577DF" w:rsidP="001577DF">
      <w:pPr>
        <w:spacing w:after="0" w:line="240" w:lineRule="auto"/>
      </w:pPr>
      <w:r>
        <w:separator/>
      </w:r>
    </w:p>
  </w:footnote>
  <w:footnote w:type="continuationSeparator" w:id="0">
    <w:p w14:paraId="34A30FE4" w14:textId="77777777" w:rsidR="001577DF" w:rsidRDefault="001577DF" w:rsidP="00157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09.25pt;height:332.25pt" o:bullet="t">
        <v:imagedata r:id="rId1" o:title="TK_LOGO_POINTER_RGB_bullet_blue"/>
      </v:shape>
    </w:pict>
  </w:numPicBullet>
  <w:numPicBullet w:numPicBulletId="1">
    <w:pict>
      <v:shape id="_x0000_i1061" type="#_x0000_t75" style="width:209.25pt;height:332.25pt" o:bullet="t">
        <v:imagedata r:id="rId2" o:title="TK_LOGO_POINTER_RGB_BULLET"/>
      </v:shape>
    </w:pict>
  </w:numPicBullet>
  <w:abstractNum w:abstractNumId="0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C02"/>
    <w:multiLevelType w:val="hybridMultilevel"/>
    <w:tmpl w:val="74B022F0"/>
    <w:lvl w:ilvl="0" w:tplc="7BFE43B0">
      <w:start w:val="1"/>
      <w:numFmt w:val="bullet"/>
      <w:lvlText w:val=""/>
      <w:lvlPicBulletId w:val="1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5988"/>
    <w:multiLevelType w:val="hybridMultilevel"/>
    <w:tmpl w:val="7340C806"/>
    <w:lvl w:ilvl="0" w:tplc="49441CC4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DF"/>
    <w:rsid w:val="000B59B0"/>
    <w:rsid w:val="001577DF"/>
    <w:rsid w:val="00615AF1"/>
    <w:rsid w:val="006B3A4F"/>
    <w:rsid w:val="00A860F5"/>
    <w:rsid w:val="00CC409C"/>
    <w:rsid w:val="00D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174BC"/>
  <w15:chartTrackingRefBased/>
  <w15:docId w15:val="{9B4421BB-A220-4DDE-AC65-D45CAFE0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odycopy">
    <w:name w:val="1 body copy"/>
    <w:basedOn w:val="Normal"/>
    <w:link w:val="1bodycopyChar"/>
    <w:qFormat/>
    <w:rsid w:val="001577DF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2Subheadpink">
    <w:name w:val="2 Subhead pink"/>
    <w:next w:val="1bodycopy"/>
    <w:qFormat/>
    <w:rsid w:val="001577DF"/>
    <w:pPr>
      <w:spacing w:before="360" w:after="120"/>
    </w:pPr>
    <w:rPr>
      <w:rFonts w:ascii="Arial" w:eastAsia="MS Mincho" w:hAnsi="Arial" w:cs="Arial"/>
      <w:b/>
      <w:color w:val="FF1F64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1577DF"/>
    <w:pPr>
      <w:keepNext w:val="0"/>
      <w:keepLines w:val="0"/>
      <w:spacing w:before="0" w:after="480" w:line="240" w:lineRule="auto"/>
    </w:pPr>
    <w:rPr>
      <w:rFonts w:ascii="Arial" w:eastAsia="Calibri" w:hAnsi="Arial" w:cs="Arial"/>
      <w:b/>
      <w:color w:val="FF1F64"/>
      <w:sz w:val="60"/>
      <w:szCs w:val="36"/>
    </w:rPr>
  </w:style>
  <w:style w:type="character" w:customStyle="1" w:styleId="1bodycopyChar">
    <w:name w:val="1 body copy Char"/>
    <w:link w:val="1bodycopy"/>
    <w:rsid w:val="001577DF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1577DF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157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7Tablecopybulleted">
    <w:name w:val="7 Table copy bulleted"/>
    <w:basedOn w:val="7Tablebodycopy"/>
    <w:qFormat/>
    <w:rsid w:val="001577DF"/>
    <w:pPr>
      <w:numPr>
        <w:numId w:val="1"/>
      </w:numPr>
    </w:pPr>
  </w:style>
  <w:style w:type="paragraph" w:customStyle="1" w:styleId="3Bulletedcopyblue">
    <w:name w:val="3 Bulleted copy blue"/>
    <w:basedOn w:val="Normal"/>
    <w:qFormat/>
    <w:rsid w:val="001577DF"/>
    <w:pPr>
      <w:numPr>
        <w:numId w:val="2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7Tablebodybulleted">
    <w:name w:val="7 Table body bulleted"/>
    <w:basedOn w:val="Normal"/>
    <w:qFormat/>
    <w:rsid w:val="001577DF"/>
    <w:pPr>
      <w:numPr>
        <w:numId w:val="3"/>
      </w:num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qFormat/>
    <w:rsid w:val="001577DF"/>
    <w:rPr>
      <w:color w:val="0072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DF"/>
  </w:style>
  <w:style w:type="paragraph" w:styleId="Footer">
    <w:name w:val="footer"/>
    <w:basedOn w:val="Normal"/>
    <w:link w:val="FooterChar"/>
    <w:uiPriority w:val="99"/>
    <w:unhideWhenUsed/>
    <w:rsid w:val="00157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national-tutoring-programme/covid-19-support-guide-for-schoo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coronavirus-covid-19-catch-up-prem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 (Head at St Peters Stalybridge)</dc:creator>
  <cp:keywords/>
  <dc:description/>
  <cp:lastModifiedBy>Elaine Summersgill (Head at St Peters Stalybridge)</cp:lastModifiedBy>
  <cp:revision>3</cp:revision>
  <dcterms:created xsi:type="dcterms:W3CDTF">2021-02-17T17:18:00Z</dcterms:created>
  <dcterms:modified xsi:type="dcterms:W3CDTF">2021-02-24T18:40:00Z</dcterms:modified>
</cp:coreProperties>
</file>